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926F" w14:textId="77777777" w:rsidR="008676C2" w:rsidRDefault="008676C2">
      <w:pPr>
        <w:pStyle w:val="GvdeMetni"/>
        <w:rPr>
          <w:rFonts w:ascii="Times New Roman"/>
          <w:sz w:val="20"/>
        </w:rPr>
      </w:pPr>
    </w:p>
    <w:p w14:paraId="2F7C8C29" w14:textId="77777777" w:rsidR="008676C2" w:rsidRDefault="008676C2">
      <w:pPr>
        <w:pStyle w:val="GvdeMetni"/>
        <w:rPr>
          <w:rFonts w:ascii="Times New Roman"/>
          <w:sz w:val="20"/>
        </w:rPr>
      </w:pPr>
    </w:p>
    <w:p w14:paraId="5819C095" w14:textId="77777777" w:rsidR="008676C2" w:rsidRDefault="008676C2">
      <w:pPr>
        <w:pStyle w:val="GvdeMetni"/>
        <w:spacing w:before="7"/>
        <w:rPr>
          <w:rFonts w:ascii="Times New Roman"/>
        </w:rPr>
      </w:pPr>
    </w:p>
    <w:p w14:paraId="1301EBF4" w14:textId="77777777" w:rsidR="00B37A8B" w:rsidRDefault="00E00B7D">
      <w:pPr>
        <w:pStyle w:val="Balk11"/>
        <w:spacing w:before="93"/>
        <w:ind w:left="1689" w:right="1633" w:firstLine="0"/>
        <w:jc w:val="center"/>
      </w:pPr>
      <w:r>
        <w:t xml:space="preserve">ÜRÜN BELGELENDİRME HİZMET BEDELİNİN BELİRLENMESİ </w:t>
      </w:r>
    </w:p>
    <w:p w14:paraId="20E3BAA5" w14:textId="77777777" w:rsidR="008676C2" w:rsidRDefault="008676C2">
      <w:pPr>
        <w:pStyle w:val="GvdeMetni"/>
        <w:rPr>
          <w:rFonts w:ascii="Arial"/>
          <w:b/>
          <w:sz w:val="24"/>
        </w:rPr>
      </w:pPr>
    </w:p>
    <w:p w14:paraId="5B7C0A81" w14:textId="77777777" w:rsidR="008676C2" w:rsidRDefault="008676C2">
      <w:pPr>
        <w:pStyle w:val="GvdeMetni"/>
        <w:rPr>
          <w:rFonts w:ascii="Arial"/>
          <w:b/>
          <w:sz w:val="24"/>
        </w:rPr>
      </w:pPr>
    </w:p>
    <w:p w14:paraId="40ABEA67" w14:textId="77777777" w:rsidR="008676C2" w:rsidRDefault="008676C2">
      <w:pPr>
        <w:pStyle w:val="GvdeMetni"/>
        <w:spacing w:before="11"/>
        <w:rPr>
          <w:rFonts w:ascii="Arial"/>
          <w:b/>
          <w:sz w:val="28"/>
        </w:rPr>
      </w:pPr>
    </w:p>
    <w:p w14:paraId="1E4C4EB5" w14:textId="77777777" w:rsidR="008676C2" w:rsidRDefault="00E00B7D">
      <w:pPr>
        <w:spacing w:line="360" w:lineRule="auto"/>
        <w:ind w:left="736" w:right="633"/>
        <w:rPr>
          <w:rFonts w:ascii="Arial" w:hAnsi="Arial"/>
        </w:rPr>
      </w:pPr>
      <w:r>
        <w:rPr>
          <w:rFonts w:ascii="Arial" w:hAnsi="Arial"/>
          <w:b/>
        </w:rPr>
        <w:t xml:space="preserve">Belgelendirme hizmet bedeli = </w:t>
      </w:r>
      <w:r>
        <w:rPr>
          <w:rFonts w:ascii="Arial" w:hAnsi="Arial"/>
        </w:rPr>
        <w:t>Teknik dosya ön inceleme bedeli + Denetim bedeli + Denetim ekibi giderleri şeklinde</w:t>
      </w:r>
      <w:r>
        <w:rPr>
          <w:rFonts w:ascii="Arial" w:hAnsi="Arial"/>
          <w:spacing w:val="-4"/>
        </w:rPr>
        <w:t xml:space="preserve"> </w:t>
      </w:r>
      <w:r>
        <w:rPr>
          <w:rFonts w:ascii="Arial" w:hAnsi="Arial"/>
        </w:rPr>
        <w:t>hesaplanacaktır.</w:t>
      </w:r>
    </w:p>
    <w:p w14:paraId="70742EB2" w14:textId="77777777" w:rsidR="008676C2" w:rsidRDefault="008676C2">
      <w:pPr>
        <w:pStyle w:val="GvdeMetni"/>
        <w:rPr>
          <w:rFonts w:ascii="Arial"/>
          <w:sz w:val="33"/>
        </w:rPr>
      </w:pPr>
    </w:p>
    <w:p w14:paraId="343064AA" w14:textId="77777777" w:rsidR="008676C2" w:rsidRDefault="00E00B7D">
      <w:pPr>
        <w:pStyle w:val="Balk11"/>
        <w:numPr>
          <w:ilvl w:val="0"/>
          <w:numId w:val="1"/>
        </w:numPr>
        <w:tabs>
          <w:tab w:val="left" w:pos="934"/>
        </w:tabs>
        <w:ind w:hanging="198"/>
      </w:pPr>
      <w:r>
        <w:t>Teknik Dosya Ön İnceleme</w:t>
      </w:r>
      <w:r>
        <w:rPr>
          <w:spacing w:val="-17"/>
        </w:rPr>
        <w:t xml:space="preserve"> </w:t>
      </w:r>
      <w:r>
        <w:t>Bedeli:</w:t>
      </w:r>
    </w:p>
    <w:p w14:paraId="3F92AD4B" w14:textId="77777777" w:rsidR="008676C2" w:rsidRDefault="00E00B7D">
      <w:pPr>
        <w:pStyle w:val="GvdeMetni"/>
        <w:spacing w:before="128" w:line="360" w:lineRule="auto"/>
        <w:ind w:left="736" w:right="672"/>
        <w:jc w:val="both"/>
      </w:pPr>
      <w:r>
        <w:rPr>
          <w:noProof/>
          <w:lang w:eastAsia="tr-TR"/>
        </w:rPr>
        <w:drawing>
          <wp:anchor distT="0" distB="0" distL="0" distR="0" simplePos="0" relativeHeight="487526400" behindDoc="1" locked="0" layoutInCell="1" allowOverlap="1" wp14:anchorId="298C839F" wp14:editId="0EA23159">
            <wp:simplePos x="0" y="0"/>
            <wp:positionH relativeFrom="page">
              <wp:posOffset>898525</wp:posOffset>
            </wp:positionH>
            <wp:positionV relativeFrom="paragraph">
              <wp:posOffset>535439</wp:posOffset>
            </wp:positionV>
            <wp:extent cx="5760084" cy="285515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760084" cy="2855154"/>
                    </a:xfrm>
                    <a:prstGeom prst="rect">
                      <a:avLst/>
                    </a:prstGeom>
                  </pic:spPr>
                </pic:pic>
              </a:graphicData>
            </a:graphic>
          </wp:anchor>
        </w:drawing>
      </w:r>
      <w:r>
        <w:t xml:space="preserve">Belgelendirme başvurusunda bulunan kuruluşun, Teknik dosyasının ve istenilen </w:t>
      </w:r>
      <w:proofErr w:type="gramStart"/>
      <w:r>
        <w:t>dokümanların</w:t>
      </w:r>
      <w:proofErr w:type="gramEnd"/>
      <w:r>
        <w:t>, oluşturulan denetim heyeti tarafından incelenip, yerinde denetime gidilebileceğinin tespiti amacıyla yapılan çalışmalar için alınan ücrettir.</w:t>
      </w:r>
    </w:p>
    <w:p w14:paraId="790EE06C" w14:textId="77777777" w:rsidR="008676C2" w:rsidRDefault="00E00B7D">
      <w:pPr>
        <w:pStyle w:val="GvdeMetni"/>
        <w:spacing w:line="267" w:lineRule="exact"/>
        <w:ind w:left="736"/>
        <w:jc w:val="both"/>
      </w:pPr>
      <w:proofErr w:type="spellStart"/>
      <w:r>
        <w:t>Herbir</w:t>
      </w:r>
      <w:proofErr w:type="spellEnd"/>
      <w:r>
        <w:t xml:space="preserve"> teknik dosya için ön inceleme süresi 1 adam/gündür.</w:t>
      </w:r>
    </w:p>
    <w:p w14:paraId="4AC488B1" w14:textId="4F16F876" w:rsidR="008676C2" w:rsidRDefault="00E00B7D">
      <w:pPr>
        <w:spacing w:before="134" w:line="360" w:lineRule="auto"/>
        <w:ind w:left="736" w:right="2107"/>
        <w:jc w:val="both"/>
        <w:rPr>
          <w:b/>
          <w:i/>
        </w:rPr>
      </w:pPr>
      <w:r>
        <w:t xml:space="preserve">Aynı ürünün farklı markalara göre teknik dosyasının incelenme süresi 1 adam/gündür. Ürün aile grubu değerlendirmesinde her bir ek ürün için 0,25 adam/gün eklenecektir. </w:t>
      </w:r>
      <w:r>
        <w:rPr>
          <w:b/>
          <w:i/>
        </w:rPr>
        <w:t>Teknik Dosya İnceleme Ücreti (Personel/Gün</w:t>
      </w:r>
      <w:proofErr w:type="gramStart"/>
      <w:r>
        <w:rPr>
          <w:b/>
          <w:i/>
        </w:rPr>
        <w:t>) :</w:t>
      </w:r>
      <w:proofErr w:type="gramEnd"/>
      <w:r>
        <w:rPr>
          <w:b/>
          <w:i/>
        </w:rPr>
        <w:t xml:space="preserve"> </w:t>
      </w:r>
      <w:r w:rsidR="0072256B">
        <w:rPr>
          <w:b/>
          <w:i/>
        </w:rPr>
        <w:t>5</w:t>
      </w:r>
      <w:r>
        <w:rPr>
          <w:b/>
          <w:i/>
        </w:rPr>
        <w:t>.000 TL+KDV</w:t>
      </w:r>
    </w:p>
    <w:p w14:paraId="70BCD912" w14:textId="77777777" w:rsidR="008676C2" w:rsidRDefault="008676C2">
      <w:pPr>
        <w:pStyle w:val="GvdeMetni"/>
        <w:spacing w:before="3"/>
        <w:rPr>
          <w:b/>
          <w:i/>
          <w:sz w:val="31"/>
        </w:rPr>
      </w:pPr>
    </w:p>
    <w:p w14:paraId="17E08186" w14:textId="77777777" w:rsidR="008676C2" w:rsidRDefault="00E00B7D">
      <w:pPr>
        <w:pStyle w:val="Balk11"/>
        <w:numPr>
          <w:ilvl w:val="0"/>
          <w:numId w:val="1"/>
        </w:numPr>
        <w:tabs>
          <w:tab w:val="left" w:pos="934"/>
        </w:tabs>
        <w:ind w:hanging="198"/>
      </w:pPr>
      <w:r>
        <w:t>Denetim Bedeli (AT Tip</w:t>
      </w:r>
      <w:r>
        <w:rPr>
          <w:spacing w:val="-3"/>
        </w:rPr>
        <w:t xml:space="preserve"> </w:t>
      </w:r>
      <w:r>
        <w:t>İncelemesi)</w:t>
      </w:r>
    </w:p>
    <w:p w14:paraId="1AD5C06F" w14:textId="77777777" w:rsidR="008676C2" w:rsidRDefault="00E00B7D">
      <w:pPr>
        <w:pStyle w:val="GvdeMetni"/>
        <w:spacing w:before="126" w:line="360" w:lineRule="auto"/>
        <w:ind w:left="736" w:right="674"/>
        <w:jc w:val="both"/>
      </w:pPr>
      <w:r>
        <w:t>Belgenin verilebilmesi, yenilenmesi için yapılan; ilk denetim, takip, gözetim, kapsam genişletme ve belge yenileme denetimleri için denetim ekibi tarafından yapılan ön hazırlık, yerinde denetim, raporlama ve düzeltici faaliyetlerin değerlendirilmesi süresi de dâhil olmak üzere, harcanan gün ve denetçi/teknik uzman sayısı göz önüne alınarak hesaplanır.</w:t>
      </w:r>
    </w:p>
    <w:p w14:paraId="15441222" w14:textId="77777777" w:rsidR="008676C2" w:rsidRDefault="00E00B7D">
      <w:pPr>
        <w:pStyle w:val="GvdeMetni"/>
        <w:spacing w:line="268" w:lineRule="exact"/>
        <w:ind w:left="736"/>
        <w:jc w:val="both"/>
      </w:pPr>
      <w:r>
        <w:t>Bir ürün için gerekli olan denetim süresi 2 adam/ gün dür.</w:t>
      </w:r>
    </w:p>
    <w:p w14:paraId="6F78517B" w14:textId="77777777" w:rsidR="008676C2" w:rsidRDefault="00E00B7D">
      <w:pPr>
        <w:pStyle w:val="GvdeMetni"/>
        <w:spacing w:before="135"/>
        <w:ind w:left="736"/>
        <w:jc w:val="both"/>
      </w:pPr>
      <w:r>
        <w:t>Ürün aile grubu değerlendirmesinde her bir ek ürün için 0,5 adam/gün eklenecektir.</w:t>
      </w:r>
    </w:p>
    <w:p w14:paraId="75DABF2F" w14:textId="77777777" w:rsidR="008676C2" w:rsidRDefault="00E00B7D">
      <w:pPr>
        <w:pStyle w:val="GvdeMetni"/>
        <w:spacing w:before="135" w:line="360" w:lineRule="auto"/>
        <w:ind w:left="736" w:right="671"/>
        <w:jc w:val="both"/>
      </w:pPr>
      <w:r>
        <w:t>Herhangi bir nedenle, müşteri tarafından sonlandırılan denetimler için gerçekleştirilen denetim süresi kadar ücret tahsil edilir. Bu gibi durumlarda ücretlendirme süresi en az 0,5 adam/günlük adımlarla artmaktadır.</w:t>
      </w:r>
    </w:p>
    <w:p w14:paraId="63E576AB" w14:textId="77777777" w:rsidR="008676C2" w:rsidRDefault="00E00B7D">
      <w:pPr>
        <w:pStyle w:val="GvdeMetni"/>
        <w:spacing w:line="360" w:lineRule="auto"/>
        <w:ind w:left="736" w:right="671"/>
        <w:jc w:val="both"/>
      </w:pPr>
      <w:r>
        <w:t xml:space="preserve">Kısa ihbar denetimlerinden denetim bedeli ücreti alınmayacaktır. Sadece denetim </w:t>
      </w:r>
      <w:proofErr w:type="gramStart"/>
      <w:r>
        <w:t>ekibi  giderleri</w:t>
      </w:r>
      <w:proofErr w:type="gramEnd"/>
      <w:r>
        <w:t xml:space="preserve"> tahsil edilecektir.</w:t>
      </w:r>
    </w:p>
    <w:p w14:paraId="75065D0D" w14:textId="77777777" w:rsidR="008676C2" w:rsidRDefault="008676C2">
      <w:pPr>
        <w:pStyle w:val="GvdeMetni"/>
        <w:spacing w:before="12"/>
        <w:rPr>
          <w:sz w:val="32"/>
        </w:rPr>
      </w:pPr>
    </w:p>
    <w:p w14:paraId="102CC140" w14:textId="57A892A2" w:rsidR="008676C2" w:rsidRDefault="00E00B7D">
      <w:pPr>
        <w:pStyle w:val="Balk21"/>
      </w:pPr>
      <w:r>
        <w:t xml:space="preserve">Denetim </w:t>
      </w:r>
      <w:proofErr w:type="gramStart"/>
      <w:r>
        <w:t>Bedeli(</w:t>
      </w:r>
      <w:proofErr w:type="gramEnd"/>
      <w:r>
        <w:t xml:space="preserve">Denetçi/Gün): </w:t>
      </w:r>
      <w:r w:rsidR="0072256B">
        <w:t>10</w:t>
      </w:r>
      <w:r>
        <w:t>.000 TL +KDV</w:t>
      </w:r>
    </w:p>
    <w:p w14:paraId="1FFE5BBD" w14:textId="77777777" w:rsidR="008676C2" w:rsidRDefault="008676C2">
      <w:pPr>
        <w:sectPr w:rsidR="008676C2">
          <w:headerReference w:type="default" r:id="rId8"/>
          <w:footerReference w:type="default" r:id="rId9"/>
          <w:type w:val="continuous"/>
          <w:pgSz w:w="11910" w:h="16840"/>
          <w:pgMar w:top="2260" w:right="740" w:bottom="1080" w:left="680" w:header="713" w:footer="898" w:gutter="0"/>
          <w:cols w:space="708"/>
        </w:sectPr>
      </w:pPr>
    </w:p>
    <w:p w14:paraId="7C1230EE" w14:textId="77777777" w:rsidR="008676C2" w:rsidRDefault="008676C2">
      <w:pPr>
        <w:pStyle w:val="GvdeMetni"/>
        <w:spacing w:before="9"/>
        <w:rPr>
          <w:b/>
          <w:i/>
          <w:sz w:val="14"/>
        </w:rPr>
      </w:pPr>
    </w:p>
    <w:p w14:paraId="60EC2168" w14:textId="77777777" w:rsidR="008676C2" w:rsidRDefault="00E00B7D">
      <w:pPr>
        <w:pStyle w:val="ListeParagraf"/>
        <w:numPr>
          <w:ilvl w:val="0"/>
          <w:numId w:val="1"/>
        </w:numPr>
        <w:tabs>
          <w:tab w:val="left" w:pos="934"/>
        </w:tabs>
        <w:spacing w:before="93"/>
        <w:ind w:hanging="198"/>
        <w:jc w:val="both"/>
        <w:rPr>
          <w:b/>
        </w:rPr>
      </w:pPr>
      <w:r>
        <w:rPr>
          <w:b/>
        </w:rPr>
        <w:t>Denetim Ekibi</w:t>
      </w:r>
      <w:r>
        <w:rPr>
          <w:b/>
          <w:spacing w:val="-1"/>
        </w:rPr>
        <w:t xml:space="preserve"> </w:t>
      </w:r>
      <w:r>
        <w:rPr>
          <w:b/>
        </w:rPr>
        <w:t>Giderleri:</w:t>
      </w:r>
    </w:p>
    <w:p w14:paraId="5DCA71DD" w14:textId="77777777" w:rsidR="008676C2" w:rsidRDefault="00E00B7D">
      <w:pPr>
        <w:pStyle w:val="GvdeMetni"/>
        <w:spacing w:before="126" w:line="360" w:lineRule="auto"/>
        <w:ind w:left="736" w:right="980"/>
        <w:jc w:val="both"/>
      </w:pPr>
      <w:r>
        <w:t>Denetime giden tetkikçilerin, yol, konaklama ve yemek ücretleri; belgelendirme talebinde bulunan müşteri firmaya yansıtılır. 90km’ ye kadar olan mesafelerden yol masrafı talep edilmez.</w:t>
      </w:r>
    </w:p>
    <w:p w14:paraId="3A7F1862" w14:textId="15B47F0F" w:rsidR="008676C2" w:rsidRDefault="00E00B7D" w:rsidP="00B37A8B">
      <w:pPr>
        <w:pStyle w:val="Balk21"/>
        <w:spacing w:before="159" w:line="504" w:lineRule="auto"/>
        <w:ind w:right="7088"/>
      </w:pPr>
      <w:r>
        <w:t xml:space="preserve">Yol Masrafları: </w:t>
      </w:r>
      <w:r w:rsidR="00B37A8B">
        <w:t xml:space="preserve">4 </w:t>
      </w:r>
      <w:r>
        <w:t>TL/km Yemek:</w:t>
      </w:r>
      <w:r w:rsidR="00B37A8B">
        <w:t>10</w:t>
      </w:r>
      <w:r>
        <w:t>0 TL /</w:t>
      </w:r>
      <w:proofErr w:type="gramStart"/>
      <w:r>
        <w:t>Kişi(</w:t>
      </w:r>
      <w:proofErr w:type="gramEnd"/>
      <w:r>
        <w:t>Gün) Konaklama:</w:t>
      </w:r>
      <w:r w:rsidR="00B37A8B">
        <w:t>3</w:t>
      </w:r>
      <w:r>
        <w:t>50 TL/Gün</w:t>
      </w:r>
    </w:p>
    <w:p w14:paraId="38D72D10" w14:textId="487B3000" w:rsidR="008676C2" w:rsidRDefault="00E00B7D">
      <w:pPr>
        <w:pStyle w:val="GvdeMetni"/>
        <w:spacing w:line="267" w:lineRule="exact"/>
        <w:ind w:left="736"/>
        <w:jc w:val="both"/>
      </w:pPr>
      <w:r>
        <w:t>4857 Sayılı İş Kanunu Madde 63’ e göre çalışma süresi haftada en çok kırk</w:t>
      </w:r>
      <w:r w:rsidR="00B37A8B">
        <w:t xml:space="preserve"> </w:t>
      </w:r>
      <w:r>
        <w:t>beş saattir.</w:t>
      </w:r>
    </w:p>
    <w:p w14:paraId="31E880E7" w14:textId="77777777" w:rsidR="008676C2" w:rsidRDefault="008676C2">
      <w:pPr>
        <w:pStyle w:val="GvdeMetni"/>
      </w:pPr>
    </w:p>
    <w:p w14:paraId="3FA5D956" w14:textId="77777777" w:rsidR="008676C2" w:rsidRDefault="008676C2">
      <w:pPr>
        <w:pStyle w:val="GvdeMetni"/>
      </w:pPr>
    </w:p>
    <w:p w14:paraId="588F93A7" w14:textId="77777777" w:rsidR="008676C2" w:rsidRDefault="008676C2">
      <w:pPr>
        <w:pStyle w:val="GvdeMetni"/>
        <w:spacing w:before="2"/>
        <w:rPr>
          <w:sz w:val="26"/>
        </w:rPr>
      </w:pPr>
    </w:p>
    <w:p w14:paraId="17205E96" w14:textId="77777777" w:rsidR="008676C2" w:rsidRDefault="00E00B7D">
      <w:pPr>
        <w:pStyle w:val="GvdeMetni"/>
        <w:spacing w:before="1"/>
        <w:ind w:left="736"/>
      </w:pPr>
      <w:r>
        <w:rPr>
          <w:noProof/>
          <w:lang w:eastAsia="tr-TR"/>
        </w:rPr>
        <w:drawing>
          <wp:anchor distT="0" distB="0" distL="0" distR="0" simplePos="0" relativeHeight="487526912" behindDoc="1" locked="0" layoutInCell="1" allowOverlap="1" wp14:anchorId="7F4BDADA" wp14:editId="1C17CDE4">
            <wp:simplePos x="0" y="0"/>
            <wp:positionH relativeFrom="page">
              <wp:posOffset>898525</wp:posOffset>
            </wp:positionH>
            <wp:positionV relativeFrom="paragraph">
              <wp:posOffset>-156329</wp:posOffset>
            </wp:positionV>
            <wp:extent cx="5760084" cy="285515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5760084" cy="2855154"/>
                    </a:xfrm>
                    <a:prstGeom prst="rect">
                      <a:avLst/>
                    </a:prstGeom>
                  </pic:spPr>
                </pic:pic>
              </a:graphicData>
            </a:graphic>
          </wp:anchor>
        </w:drawing>
      </w:r>
      <w:r>
        <w:t xml:space="preserve">Örneğin: 300 km </w:t>
      </w:r>
      <w:proofErr w:type="gramStart"/>
      <w:r>
        <w:t>uzaktaki ,</w:t>
      </w:r>
      <w:proofErr w:type="gramEnd"/>
      <w:r>
        <w:t xml:space="preserve"> 1 ürün için belgelendirme bedeli:</w:t>
      </w:r>
    </w:p>
    <w:p w14:paraId="4FD97011" w14:textId="77777777" w:rsidR="008676C2" w:rsidRDefault="008676C2">
      <w:pPr>
        <w:pStyle w:val="GvdeMetni"/>
        <w:spacing w:before="2"/>
        <w:rPr>
          <w:sz w:val="24"/>
        </w:rPr>
      </w:pPr>
    </w:p>
    <w:p w14:paraId="63AD1244" w14:textId="31FB3DC8" w:rsidR="008676C2" w:rsidRDefault="00E00B7D">
      <w:pPr>
        <w:pStyle w:val="GvdeMetni"/>
        <w:ind w:left="736"/>
        <w:rPr>
          <w:b/>
        </w:rPr>
      </w:pPr>
      <w:r>
        <w:t>Teknik dosya ön inceleme bedeli: 1 adam/gün=</w:t>
      </w:r>
      <w:r w:rsidR="0072256B">
        <w:rPr>
          <w:b/>
        </w:rPr>
        <w:t>5</w:t>
      </w:r>
      <w:r>
        <w:rPr>
          <w:b/>
        </w:rPr>
        <w:t>.000 TL</w:t>
      </w:r>
    </w:p>
    <w:p w14:paraId="01A2AF98" w14:textId="77777777" w:rsidR="008676C2" w:rsidRDefault="008676C2">
      <w:pPr>
        <w:pStyle w:val="GvdeMetni"/>
        <w:rPr>
          <w:b/>
          <w:sz w:val="24"/>
        </w:rPr>
      </w:pPr>
    </w:p>
    <w:p w14:paraId="59371B7B" w14:textId="13A9C6A5" w:rsidR="008676C2" w:rsidRDefault="00E00B7D">
      <w:pPr>
        <w:ind w:left="736"/>
        <w:rPr>
          <w:b/>
        </w:rPr>
      </w:pPr>
      <w:r>
        <w:t>Denetim Bedeli :2 adam/gün =</w:t>
      </w:r>
      <w:r w:rsidR="0072256B">
        <w:rPr>
          <w:b/>
        </w:rPr>
        <w:t>20</w:t>
      </w:r>
      <w:r>
        <w:rPr>
          <w:b/>
        </w:rPr>
        <w:t>.000 TL</w:t>
      </w:r>
    </w:p>
    <w:p w14:paraId="32261F8B" w14:textId="77777777" w:rsidR="008676C2" w:rsidRDefault="008676C2">
      <w:pPr>
        <w:pStyle w:val="GvdeMetni"/>
        <w:spacing w:before="3"/>
        <w:rPr>
          <w:b/>
          <w:sz w:val="24"/>
        </w:rPr>
      </w:pPr>
    </w:p>
    <w:p w14:paraId="7B94DEF9" w14:textId="067584F8" w:rsidR="008676C2" w:rsidRDefault="00E00B7D">
      <w:pPr>
        <w:pStyle w:val="GvdeMetni"/>
        <w:ind w:left="736"/>
      </w:pPr>
      <w:r>
        <w:t xml:space="preserve">Denetim ekibi </w:t>
      </w:r>
      <w:proofErr w:type="gramStart"/>
      <w:r>
        <w:t>giderleri:[</w:t>
      </w:r>
      <w:proofErr w:type="gramEnd"/>
      <w:r>
        <w:t xml:space="preserve"> (yol masrafı=300x</w:t>
      </w:r>
      <w:r w:rsidR="00B37A8B">
        <w:t>4</w:t>
      </w:r>
      <w:r>
        <w:t>=</w:t>
      </w:r>
      <w:r w:rsidR="00B37A8B">
        <w:t>1.2</w:t>
      </w:r>
      <w:r>
        <w:t>00 TL, Yemek=2x</w:t>
      </w:r>
      <w:r w:rsidR="00B37A8B">
        <w:t>100</w:t>
      </w:r>
      <w:r>
        <w:t>=2</w:t>
      </w:r>
      <w:r w:rsidR="00B37A8B">
        <w:t>0</w:t>
      </w:r>
      <w:r>
        <w:t>0 TL, Konaklama 2 kişi 1</w:t>
      </w:r>
    </w:p>
    <w:p w14:paraId="193B019A" w14:textId="05C14AE3" w:rsidR="008676C2" w:rsidRDefault="00E00B7D">
      <w:pPr>
        <w:spacing w:before="132"/>
        <w:ind w:left="736"/>
        <w:rPr>
          <w:b/>
        </w:rPr>
      </w:pPr>
      <w:proofErr w:type="gramStart"/>
      <w:r>
        <w:t>gece</w:t>
      </w:r>
      <w:proofErr w:type="gramEnd"/>
      <w:r>
        <w:t>=</w:t>
      </w:r>
      <w:r w:rsidR="00B37A8B">
        <w:t>7</w:t>
      </w:r>
      <w:r>
        <w:t>00 TL]=</w:t>
      </w:r>
      <w:r w:rsidR="00B37A8B">
        <w:t>2.100</w:t>
      </w:r>
      <w:r>
        <w:rPr>
          <w:b/>
        </w:rPr>
        <w:t xml:space="preserve"> TL</w:t>
      </w:r>
    </w:p>
    <w:p w14:paraId="07B93043" w14:textId="77777777" w:rsidR="008676C2" w:rsidRDefault="008676C2">
      <w:pPr>
        <w:pStyle w:val="GvdeMetni"/>
        <w:spacing w:before="3"/>
        <w:rPr>
          <w:b/>
          <w:sz w:val="24"/>
        </w:rPr>
      </w:pPr>
    </w:p>
    <w:p w14:paraId="667D4079" w14:textId="3B16EBFA" w:rsidR="008676C2" w:rsidRDefault="00E00B7D">
      <w:pPr>
        <w:ind w:left="736"/>
      </w:pPr>
      <w:r>
        <w:t>Toplam:</w:t>
      </w:r>
      <w:r w:rsidR="0072256B">
        <w:rPr>
          <w:b/>
        </w:rPr>
        <w:t>25</w:t>
      </w:r>
      <w:r w:rsidR="00B37A8B">
        <w:rPr>
          <w:b/>
        </w:rPr>
        <w:t>.</w:t>
      </w:r>
      <w:r w:rsidR="0072256B">
        <w:rPr>
          <w:b/>
        </w:rPr>
        <w:t>7</w:t>
      </w:r>
      <w:r w:rsidR="00B37A8B">
        <w:rPr>
          <w:b/>
        </w:rPr>
        <w:t>00</w:t>
      </w:r>
      <w:r>
        <w:rPr>
          <w:b/>
        </w:rPr>
        <w:t xml:space="preserve"> TL +KDV </w:t>
      </w:r>
      <w:r>
        <w:t>olacaktır.</w:t>
      </w:r>
    </w:p>
    <w:p w14:paraId="6E1F3C65" w14:textId="77777777" w:rsidR="008676C2" w:rsidRDefault="008676C2">
      <w:pPr>
        <w:pStyle w:val="GvdeMetni"/>
        <w:rPr>
          <w:sz w:val="20"/>
        </w:rPr>
      </w:pPr>
    </w:p>
    <w:p w14:paraId="3F5CD1BF" w14:textId="77777777" w:rsidR="008676C2" w:rsidRDefault="008676C2">
      <w:pPr>
        <w:pStyle w:val="GvdeMetni"/>
        <w:rPr>
          <w:sz w:val="20"/>
        </w:rPr>
      </w:pPr>
    </w:p>
    <w:p w14:paraId="66E76B52" w14:textId="77777777" w:rsidR="008676C2" w:rsidRDefault="008676C2">
      <w:pPr>
        <w:pStyle w:val="GvdeMetni"/>
        <w:rPr>
          <w:sz w:val="20"/>
        </w:rPr>
      </w:pPr>
    </w:p>
    <w:p w14:paraId="570D07F2" w14:textId="77777777" w:rsidR="008676C2" w:rsidRDefault="008676C2">
      <w:pPr>
        <w:pStyle w:val="GvdeMetni"/>
        <w:rPr>
          <w:sz w:val="20"/>
        </w:rPr>
      </w:pPr>
    </w:p>
    <w:p w14:paraId="29F6C2FB" w14:textId="77777777" w:rsidR="008676C2" w:rsidRDefault="008676C2">
      <w:pPr>
        <w:pStyle w:val="GvdeMetni"/>
        <w:rPr>
          <w:sz w:val="20"/>
        </w:rPr>
      </w:pPr>
    </w:p>
    <w:p w14:paraId="7AA2D885" w14:textId="77777777" w:rsidR="008676C2" w:rsidRDefault="008676C2">
      <w:pPr>
        <w:pStyle w:val="GvdeMetni"/>
        <w:rPr>
          <w:sz w:val="20"/>
        </w:rPr>
      </w:pPr>
    </w:p>
    <w:p w14:paraId="54594F24" w14:textId="77777777" w:rsidR="008676C2" w:rsidRDefault="008676C2">
      <w:pPr>
        <w:pStyle w:val="GvdeMetni"/>
        <w:rPr>
          <w:sz w:val="20"/>
        </w:rPr>
      </w:pPr>
    </w:p>
    <w:p w14:paraId="013DF66B" w14:textId="77777777" w:rsidR="008676C2" w:rsidRDefault="008676C2">
      <w:pPr>
        <w:pStyle w:val="GvdeMetni"/>
        <w:rPr>
          <w:sz w:val="20"/>
        </w:rPr>
      </w:pPr>
    </w:p>
    <w:p w14:paraId="41230E49" w14:textId="77777777" w:rsidR="008676C2" w:rsidRDefault="008676C2">
      <w:pPr>
        <w:pStyle w:val="GvdeMetni"/>
        <w:rPr>
          <w:sz w:val="20"/>
        </w:rPr>
      </w:pPr>
    </w:p>
    <w:p w14:paraId="78E7CED3" w14:textId="77777777" w:rsidR="008676C2" w:rsidRDefault="008676C2">
      <w:pPr>
        <w:pStyle w:val="GvdeMetni"/>
        <w:spacing w:before="1"/>
        <w:rPr>
          <w:sz w:val="17"/>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651"/>
      </w:tblGrid>
      <w:tr w:rsidR="008676C2" w14:paraId="7A27572A" w14:textId="77777777" w:rsidTr="00AB5608">
        <w:trPr>
          <w:trHeight w:val="1139"/>
        </w:trPr>
        <w:tc>
          <w:tcPr>
            <w:tcW w:w="4532" w:type="dxa"/>
          </w:tcPr>
          <w:p w14:paraId="6FF664D1" w14:textId="77777777" w:rsidR="008676C2" w:rsidRDefault="00E00B7D">
            <w:pPr>
              <w:pStyle w:val="TableParagraph"/>
              <w:ind w:left="1522" w:right="1517"/>
              <w:jc w:val="center"/>
            </w:pPr>
            <w:r>
              <w:t>HAZIRLAYAN:</w:t>
            </w:r>
          </w:p>
        </w:tc>
        <w:tc>
          <w:tcPr>
            <w:tcW w:w="4651" w:type="dxa"/>
          </w:tcPr>
          <w:p w14:paraId="51F09B5D" w14:textId="2E51B2DC" w:rsidR="008676C2" w:rsidRDefault="00E00B7D">
            <w:pPr>
              <w:pStyle w:val="TableParagraph"/>
              <w:spacing w:line="360" w:lineRule="auto"/>
              <w:ind w:left="1713" w:right="1205" w:hanging="483"/>
            </w:pPr>
            <w:r>
              <w:t>ONAYLAYAN/TARİ</w:t>
            </w:r>
            <w:r w:rsidR="00AB5608">
              <w:t>H:</w:t>
            </w:r>
          </w:p>
          <w:p w14:paraId="5A86A2FB" w14:textId="57F7455E" w:rsidR="00B37A8B" w:rsidRDefault="00B37A8B">
            <w:pPr>
              <w:pStyle w:val="TableParagraph"/>
              <w:spacing w:line="360" w:lineRule="auto"/>
              <w:ind w:left="1713" w:right="1205" w:hanging="483"/>
            </w:pPr>
          </w:p>
        </w:tc>
      </w:tr>
    </w:tbl>
    <w:p w14:paraId="5247DA3F" w14:textId="77777777" w:rsidR="00E00B7D" w:rsidRDefault="00E00B7D"/>
    <w:sectPr w:rsidR="00E00B7D" w:rsidSect="008676C2">
      <w:pgSz w:w="11910" w:h="16840"/>
      <w:pgMar w:top="2260" w:right="740" w:bottom="1080" w:left="680" w:header="713" w:footer="8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71A3B" w14:textId="77777777" w:rsidR="00B7319B" w:rsidRDefault="00B7319B" w:rsidP="008676C2">
      <w:r>
        <w:separator/>
      </w:r>
    </w:p>
  </w:endnote>
  <w:endnote w:type="continuationSeparator" w:id="0">
    <w:p w14:paraId="7FFE465B" w14:textId="77777777" w:rsidR="00B7319B" w:rsidRDefault="00B7319B" w:rsidP="0086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5A69" w14:textId="77777777" w:rsidR="00AE4511" w:rsidRPr="007E4120" w:rsidRDefault="00AE4511" w:rsidP="00AE4511">
    <w:pPr>
      <w:pBdr>
        <w:top w:val="nil"/>
        <w:left w:val="nil"/>
        <w:bottom w:val="nil"/>
        <w:right w:val="nil"/>
        <w:between w:val="nil"/>
      </w:pBdr>
      <w:tabs>
        <w:tab w:val="center" w:pos="4536"/>
        <w:tab w:val="right" w:pos="9072"/>
      </w:tabs>
      <w:jc w:val="center"/>
      <w:rPr>
        <w:rFonts w:ascii="Arial" w:eastAsia="Arial" w:hAnsi="Arial" w:cs="Arial"/>
        <w:color w:val="1F497D" w:themeColor="text2"/>
        <w:sz w:val="16"/>
        <w:szCs w:val="16"/>
      </w:rPr>
    </w:pPr>
    <w:r w:rsidRPr="007E4120">
      <w:rPr>
        <w:rFonts w:ascii="Arial" w:eastAsia="Arial" w:hAnsi="Arial" w:cs="Arial"/>
        <w:color w:val="1F497D" w:themeColor="text2"/>
        <w:sz w:val="16"/>
        <w:szCs w:val="16"/>
      </w:rPr>
      <w:t>CGS TEST HİZMETLERİ TEKNİK KONTROL VE BELGELENDİRME ANONİM ŞİRKETİ</w:t>
    </w:r>
  </w:p>
  <w:p w14:paraId="017B2C0A" w14:textId="77777777" w:rsidR="00AE4511" w:rsidRPr="007E4120" w:rsidRDefault="00AE4511" w:rsidP="00AE4511">
    <w:pPr>
      <w:pBdr>
        <w:top w:val="nil"/>
        <w:left w:val="nil"/>
        <w:bottom w:val="nil"/>
        <w:right w:val="nil"/>
        <w:between w:val="nil"/>
      </w:pBdr>
      <w:tabs>
        <w:tab w:val="center" w:pos="4536"/>
        <w:tab w:val="right" w:pos="9072"/>
      </w:tabs>
      <w:jc w:val="center"/>
      <w:rPr>
        <w:rFonts w:ascii="Arial" w:eastAsia="Arial" w:hAnsi="Arial" w:cs="Arial"/>
        <w:color w:val="1F497D" w:themeColor="text2"/>
        <w:sz w:val="16"/>
        <w:szCs w:val="16"/>
      </w:rPr>
    </w:pPr>
    <w:r w:rsidRPr="007E4120">
      <w:rPr>
        <w:rFonts w:ascii="Arial" w:eastAsia="Arial" w:hAnsi="Arial" w:cs="Arial"/>
        <w:color w:val="1F497D" w:themeColor="text2"/>
        <w:sz w:val="16"/>
        <w:szCs w:val="16"/>
      </w:rPr>
      <w:t>FERHATPAŞA MAHALLESİ 23. SOKAK NO:17 İÇ KAPI NO:1 ATAŞEHİR İSTANBUL</w:t>
    </w:r>
  </w:p>
  <w:sdt>
    <w:sdtPr>
      <w:rPr>
        <w:rFonts w:ascii="Arial" w:hAnsi="Arial" w:cs="Arial"/>
        <w:color w:val="1F497D" w:themeColor="text2"/>
        <w:sz w:val="16"/>
        <w:szCs w:val="16"/>
      </w:rPr>
      <w:id w:val="1538238305"/>
      <w:docPartObj>
        <w:docPartGallery w:val="Page Numbers (Bottom of Page)"/>
        <w:docPartUnique/>
      </w:docPartObj>
    </w:sdtPr>
    <w:sdtContent>
      <w:sdt>
        <w:sdtPr>
          <w:rPr>
            <w:rFonts w:ascii="Arial" w:hAnsi="Arial" w:cs="Arial"/>
            <w:color w:val="1F497D" w:themeColor="text2"/>
            <w:sz w:val="16"/>
            <w:szCs w:val="16"/>
          </w:rPr>
          <w:id w:val="1728636285"/>
          <w:docPartObj>
            <w:docPartGallery w:val="Page Numbers (Top of Page)"/>
            <w:docPartUnique/>
          </w:docPartObj>
        </w:sdtPr>
        <w:sdtContent>
          <w:p w14:paraId="6D553074" w14:textId="77777777" w:rsidR="00AE4511" w:rsidRPr="007E4120" w:rsidRDefault="00AE4511" w:rsidP="00AE4511">
            <w:pPr>
              <w:pStyle w:val="AltBilgi"/>
              <w:jc w:val="center"/>
              <w:rPr>
                <w:rFonts w:ascii="Arial" w:hAnsi="Arial" w:cs="Arial"/>
                <w:color w:val="1F497D" w:themeColor="text2"/>
                <w:sz w:val="16"/>
                <w:szCs w:val="16"/>
              </w:rPr>
            </w:pPr>
            <w:r w:rsidRPr="007E4120">
              <w:rPr>
                <w:rFonts w:ascii="Arial" w:hAnsi="Arial" w:cs="Arial"/>
                <w:color w:val="1F497D" w:themeColor="text2"/>
                <w:sz w:val="16"/>
                <w:szCs w:val="16"/>
              </w:rPr>
              <w:t xml:space="preserve">Sayfa </w:t>
            </w:r>
            <w:r w:rsidRPr="007E4120">
              <w:rPr>
                <w:rFonts w:ascii="Arial" w:hAnsi="Arial" w:cs="Arial"/>
                <w:color w:val="1F497D" w:themeColor="text2"/>
                <w:sz w:val="16"/>
                <w:szCs w:val="16"/>
              </w:rPr>
              <w:fldChar w:fldCharType="begin"/>
            </w:r>
            <w:r w:rsidRPr="007E4120">
              <w:rPr>
                <w:rFonts w:ascii="Arial" w:hAnsi="Arial" w:cs="Arial"/>
                <w:color w:val="1F497D" w:themeColor="text2"/>
                <w:sz w:val="16"/>
                <w:szCs w:val="16"/>
              </w:rPr>
              <w:instrText>PAGE</w:instrText>
            </w:r>
            <w:r w:rsidRPr="007E4120">
              <w:rPr>
                <w:rFonts w:ascii="Arial" w:hAnsi="Arial" w:cs="Arial"/>
                <w:color w:val="1F497D" w:themeColor="text2"/>
                <w:sz w:val="16"/>
                <w:szCs w:val="16"/>
              </w:rPr>
              <w:fldChar w:fldCharType="separate"/>
            </w:r>
            <w:r>
              <w:rPr>
                <w:rFonts w:ascii="Arial" w:hAnsi="Arial" w:cs="Arial"/>
                <w:color w:val="1F497D" w:themeColor="text2"/>
                <w:sz w:val="16"/>
                <w:szCs w:val="16"/>
              </w:rPr>
              <w:t>1</w:t>
            </w:r>
            <w:r w:rsidRPr="007E4120">
              <w:rPr>
                <w:rFonts w:ascii="Arial" w:hAnsi="Arial" w:cs="Arial"/>
                <w:color w:val="1F497D" w:themeColor="text2"/>
                <w:sz w:val="16"/>
                <w:szCs w:val="16"/>
              </w:rPr>
              <w:fldChar w:fldCharType="end"/>
            </w:r>
            <w:r w:rsidRPr="007E4120">
              <w:rPr>
                <w:rFonts w:ascii="Arial" w:hAnsi="Arial" w:cs="Arial"/>
                <w:color w:val="1F497D" w:themeColor="text2"/>
                <w:sz w:val="16"/>
                <w:szCs w:val="16"/>
              </w:rPr>
              <w:t xml:space="preserve"> / </w:t>
            </w:r>
            <w:r w:rsidRPr="007E4120">
              <w:rPr>
                <w:rFonts w:ascii="Arial" w:hAnsi="Arial" w:cs="Arial"/>
                <w:color w:val="1F497D" w:themeColor="text2"/>
                <w:sz w:val="16"/>
                <w:szCs w:val="16"/>
              </w:rPr>
              <w:fldChar w:fldCharType="begin"/>
            </w:r>
            <w:r w:rsidRPr="007E4120">
              <w:rPr>
                <w:rFonts w:ascii="Arial" w:hAnsi="Arial" w:cs="Arial"/>
                <w:color w:val="1F497D" w:themeColor="text2"/>
                <w:sz w:val="16"/>
                <w:szCs w:val="16"/>
              </w:rPr>
              <w:instrText>NUMPAGES</w:instrText>
            </w:r>
            <w:r w:rsidRPr="007E4120">
              <w:rPr>
                <w:rFonts w:ascii="Arial" w:hAnsi="Arial" w:cs="Arial"/>
                <w:color w:val="1F497D" w:themeColor="text2"/>
                <w:sz w:val="16"/>
                <w:szCs w:val="16"/>
              </w:rPr>
              <w:fldChar w:fldCharType="separate"/>
            </w:r>
            <w:r>
              <w:rPr>
                <w:rFonts w:ascii="Arial" w:hAnsi="Arial" w:cs="Arial"/>
                <w:color w:val="1F497D" w:themeColor="text2"/>
                <w:sz w:val="16"/>
                <w:szCs w:val="16"/>
              </w:rPr>
              <w:t>2</w:t>
            </w:r>
            <w:r w:rsidRPr="007E4120">
              <w:rPr>
                <w:rFonts w:ascii="Arial" w:hAnsi="Arial" w:cs="Arial"/>
                <w:color w:val="1F497D" w:themeColor="text2"/>
                <w:sz w:val="16"/>
                <w:szCs w:val="16"/>
              </w:rPr>
              <w:fldChar w:fldCharType="end"/>
            </w:r>
          </w:p>
        </w:sdtContent>
      </w:sdt>
    </w:sdtContent>
  </w:sdt>
  <w:p w14:paraId="5449846B" w14:textId="40EB9F48" w:rsidR="008676C2" w:rsidRDefault="008676C2">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01F16" w14:textId="77777777" w:rsidR="00B7319B" w:rsidRDefault="00B7319B" w:rsidP="008676C2">
      <w:r>
        <w:separator/>
      </w:r>
    </w:p>
  </w:footnote>
  <w:footnote w:type="continuationSeparator" w:id="0">
    <w:p w14:paraId="23F23FAD" w14:textId="77777777" w:rsidR="00B7319B" w:rsidRDefault="00B7319B" w:rsidP="00867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A912" w14:textId="1F95B834" w:rsidR="008676C2" w:rsidRDefault="00B37A8B">
    <w:pPr>
      <w:pStyle w:val="GvdeMetni"/>
      <w:spacing w:line="14" w:lineRule="auto"/>
      <w:rPr>
        <w:sz w:val="20"/>
      </w:rPr>
    </w:pPr>
    <w:r>
      <w:rPr>
        <w:noProof/>
      </w:rPr>
      <mc:AlternateContent>
        <mc:Choice Requires="wps">
          <w:drawing>
            <wp:anchor distT="0" distB="0" distL="114300" distR="114300" simplePos="0" relativeHeight="15728640" behindDoc="0" locked="0" layoutInCell="1" allowOverlap="1" wp14:anchorId="699D1CDA" wp14:editId="1B8362AD">
              <wp:simplePos x="0" y="0"/>
              <wp:positionH relativeFrom="page">
                <wp:align>center</wp:align>
              </wp:positionH>
              <wp:positionV relativeFrom="topMargin">
                <wp:align>bottom</wp:align>
              </wp:positionV>
              <wp:extent cx="6271260" cy="989330"/>
              <wp:effectExtent l="0" t="0" r="1524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98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234"/>
                            <w:gridCol w:w="4251"/>
                          </w:tblGrid>
                          <w:tr w:rsidR="008676C2" w14:paraId="7CCC68CD" w14:textId="77777777">
                            <w:trPr>
                              <w:trHeight w:val="1538"/>
                            </w:trPr>
                            <w:tc>
                              <w:tcPr>
                                <w:tcW w:w="2376" w:type="dxa"/>
                              </w:tcPr>
                              <w:p w14:paraId="56D0A6F8" w14:textId="77777777" w:rsidR="008676C2" w:rsidRDefault="008676C2">
                                <w:pPr>
                                  <w:pStyle w:val="TableParagraph"/>
                                  <w:spacing w:before="0"/>
                                  <w:rPr>
                                    <w:rFonts w:ascii="Times New Roman"/>
                                    <w:sz w:val="20"/>
                                  </w:rPr>
                                </w:pPr>
                              </w:p>
                            </w:tc>
                            <w:tc>
                              <w:tcPr>
                                <w:tcW w:w="3234" w:type="dxa"/>
                              </w:tcPr>
                              <w:p w14:paraId="01E8815B" w14:textId="77777777" w:rsidR="005D7536" w:rsidRDefault="005D7536" w:rsidP="005D7536">
                                <w:pPr>
                                  <w:pStyle w:val="TableParagraph"/>
                                  <w:spacing w:before="0"/>
                                  <w:ind w:left="297"/>
                                  <w:jc w:val="center"/>
                                  <w:rPr>
                                    <w:rFonts w:ascii="Carlito" w:hAnsi="Carlito"/>
                                    <w:sz w:val="36"/>
                                  </w:rPr>
                                </w:pPr>
                              </w:p>
                              <w:p w14:paraId="785EC1C9" w14:textId="2DFDEFE2" w:rsidR="008676C2" w:rsidRDefault="00E00B7D" w:rsidP="005D7536">
                                <w:pPr>
                                  <w:pStyle w:val="TableParagraph"/>
                                  <w:spacing w:before="0"/>
                                  <w:ind w:left="297"/>
                                  <w:jc w:val="center"/>
                                  <w:rPr>
                                    <w:rFonts w:ascii="Carlito" w:hAnsi="Carlito"/>
                                    <w:sz w:val="36"/>
                                  </w:rPr>
                                </w:pPr>
                                <w:r>
                                  <w:rPr>
                                    <w:rFonts w:ascii="Carlito" w:hAnsi="Carlito"/>
                                    <w:sz w:val="36"/>
                                  </w:rPr>
                                  <w:t>ÜCRET POLİTİKASI</w:t>
                                </w:r>
                              </w:p>
                            </w:tc>
                            <w:tc>
                              <w:tcPr>
                                <w:tcW w:w="4251" w:type="dxa"/>
                              </w:tcPr>
                              <w:p w14:paraId="663D2CEF" w14:textId="6D7FBB82" w:rsidR="008676C2" w:rsidRDefault="00E00B7D">
                                <w:pPr>
                                  <w:pStyle w:val="TableParagraph"/>
                                  <w:tabs>
                                    <w:tab w:val="left" w:pos="2244"/>
                                  </w:tabs>
                                  <w:ind w:left="107"/>
                                </w:pPr>
                                <w:r>
                                  <w:t>Kod</w:t>
                                </w:r>
                                <w:r>
                                  <w:rPr>
                                    <w:spacing w:val="-1"/>
                                  </w:rPr>
                                  <w:t xml:space="preserve"> </w:t>
                                </w:r>
                                <w:r>
                                  <w:t>No</w:t>
                                </w:r>
                                <w:r>
                                  <w:tab/>
                                  <w:t>:</w:t>
                                </w:r>
                                <w:r>
                                  <w:rPr>
                                    <w:spacing w:val="54"/>
                                  </w:rPr>
                                  <w:t xml:space="preserve"> </w:t>
                                </w:r>
                                <w:r w:rsidR="00AA4819">
                                  <w:t>BF46_01_R</w:t>
                                </w:r>
                                <w:r w:rsidR="005D7536">
                                  <w:t>4</w:t>
                                </w:r>
                                <w:r>
                                  <w:t>.0</w:t>
                                </w:r>
                              </w:p>
                              <w:p w14:paraId="53F1C2D6" w14:textId="16DFE48A" w:rsidR="005D7536" w:rsidRPr="005D7536" w:rsidRDefault="00E00B7D" w:rsidP="005D7536">
                                <w:pPr>
                                  <w:pStyle w:val="TableParagraph"/>
                                  <w:tabs>
                                    <w:tab w:val="left" w:pos="2244"/>
                                  </w:tabs>
                                  <w:spacing w:before="57" w:line="516" w:lineRule="exact"/>
                                  <w:ind w:left="107" w:right="455"/>
                                  <w:rPr>
                                    <w:spacing w:val="-3"/>
                                  </w:rPr>
                                </w:pPr>
                                <w:r>
                                  <w:t>Yayın</w:t>
                                </w:r>
                                <w:r>
                                  <w:rPr>
                                    <w:spacing w:val="-2"/>
                                  </w:rPr>
                                  <w:t xml:space="preserve"> </w:t>
                                </w:r>
                                <w:r>
                                  <w:t>Tarihi</w:t>
                                </w:r>
                                <w:r>
                                  <w:tab/>
                                  <w:t>: 15.07.2017 Revizyon No/Tarih</w:t>
                                </w:r>
                                <w:r>
                                  <w:tab/>
                                  <w:t>:</w:t>
                                </w:r>
                                <w:r>
                                  <w:rPr>
                                    <w:spacing w:val="26"/>
                                  </w:rPr>
                                  <w:t xml:space="preserve"> </w:t>
                                </w:r>
                                <w:r>
                                  <w:rPr>
                                    <w:spacing w:val="-3"/>
                                  </w:rPr>
                                  <w:t>0</w:t>
                                </w:r>
                                <w:r w:rsidR="005D7536">
                                  <w:rPr>
                                    <w:spacing w:val="-3"/>
                                  </w:rPr>
                                  <w:t>3</w:t>
                                </w:r>
                                <w:r>
                                  <w:rPr>
                                    <w:spacing w:val="-3"/>
                                  </w:rPr>
                                  <w:t>/</w:t>
                                </w:r>
                                <w:r w:rsidR="005D7536">
                                  <w:rPr>
                                    <w:spacing w:val="-3"/>
                                  </w:rPr>
                                  <w:t>08.08.2023</w:t>
                                </w:r>
                              </w:p>
                            </w:tc>
                          </w:tr>
                        </w:tbl>
                        <w:p w14:paraId="48DD713D" w14:textId="77777777" w:rsidR="008676C2" w:rsidRDefault="008676C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D1CDA" id="_x0000_t202" coordsize="21600,21600" o:spt="202" path="m,l,21600r21600,l21600,xe">
              <v:stroke joinstyle="miter"/>
              <v:path gradientshapeok="t" o:connecttype="rect"/>
            </v:shapetype>
            <v:shape id="Text Box 2" o:spid="_x0000_s1026" type="#_x0000_t202" style="position:absolute;margin-left:0;margin-top:0;width:493.8pt;height:77.9pt;z-index:15728640;visibility:visible;mso-wrap-style:square;mso-width-percent:0;mso-height-percent:0;mso-wrap-distance-left:9pt;mso-wrap-distance-top:0;mso-wrap-distance-right:9pt;mso-wrap-distance-bottom:0;mso-position-horizontal:center;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234"/>
                      <w:gridCol w:w="4251"/>
                    </w:tblGrid>
                    <w:tr w:rsidR="008676C2" w14:paraId="7CCC68CD" w14:textId="77777777">
                      <w:trPr>
                        <w:trHeight w:val="1538"/>
                      </w:trPr>
                      <w:tc>
                        <w:tcPr>
                          <w:tcW w:w="2376" w:type="dxa"/>
                        </w:tcPr>
                        <w:p w14:paraId="56D0A6F8" w14:textId="77777777" w:rsidR="008676C2" w:rsidRDefault="008676C2">
                          <w:pPr>
                            <w:pStyle w:val="TableParagraph"/>
                            <w:spacing w:before="0"/>
                            <w:rPr>
                              <w:rFonts w:ascii="Times New Roman"/>
                              <w:sz w:val="20"/>
                            </w:rPr>
                          </w:pPr>
                        </w:p>
                      </w:tc>
                      <w:tc>
                        <w:tcPr>
                          <w:tcW w:w="3234" w:type="dxa"/>
                        </w:tcPr>
                        <w:p w14:paraId="01E8815B" w14:textId="77777777" w:rsidR="005D7536" w:rsidRDefault="005D7536" w:rsidP="005D7536">
                          <w:pPr>
                            <w:pStyle w:val="TableParagraph"/>
                            <w:spacing w:before="0"/>
                            <w:ind w:left="297"/>
                            <w:jc w:val="center"/>
                            <w:rPr>
                              <w:rFonts w:ascii="Carlito" w:hAnsi="Carlito"/>
                              <w:sz w:val="36"/>
                            </w:rPr>
                          </w:pPr>
                        </w:p>
                        <w:p w14:paraId="785EC1C9" w14:textId="2DFDEFE2" w:rsidR="008676C2" w:rsidRDefault="00E00B7D" w:rsidP="005D7536">
                          <w:pPr>
                            <w:pStyle w:val="TableParagraph"/>
                            <w:spacing w:before="0"/>
                            <w:ind w:left="297"/>
                            <w:jc w:val="center"/>
                            <w:rPr>
                              <w:rFonts w:ascii="Carlito" w:hAnsi="Carlito"/>
                              <w:sz w:val="36"/>
                            </w:rPr>
                          </w:pPr>
                          <w:r>
                            <w:rPr>
                              <w:rFonts w:ascii="Carlito" w:hAnsi="Carlito"/>
                              <w:sz w:val="36"/>
                            </w:rPr>
                            <w:t>ÜCRET POLİTİKASI</w:t>
                          </w:r>
                        </w:p>
                      </w:tc>
                      <w:tc>
                        <w:tcPr>
                          <w:tcW w:w="4251" w:type="dxa"/>
                        </w:tcPr>
                        <w:p w14:paraId="663D2CEF" w14:textId="6D7FBB82" w:rsidR="008676C2" w:rsidRDefault="00E00B7D">
                          <w:pPr>
                            <w:pStyle w:val="TableParagraph"/>
                            <w:tabs>
                              <w:tab w:val="left" w:pos="2244"/>
                            </w:tabs>
                            <w:ind w:left="107"/>
                          </w:pPr>
                          <w:r>
                            <w:t>Kod</w:t>
                          </w:r>
                          <w:r>
                            <w:rPr>
                              <w:spacing w:val="-1"/>
                            </w:rPr>
                            <w:t xml:space="preserve"> </w:t>
                          </w:r>
                          <w:r>
                            <w:t>No</w:t>
                          </w:r>
                          <w:r>
                            <w:tab/>
                            <w:t>:</w:t>
                          </w:r>
                          <w:r>
                            <w:rPr>
                              <w:spacing w:val="54"/>
                            </w:rPr>
                            <w:t xml:space="preserve"> </w:t>
                          </w:r>
                          <w:r w:rsidR="00AA4819">
                            <w:t>BF46_01_R</w:t>
                          </w:r>
                          <w:r w:rsidR="005D7536">
                            <w:t>4</w:t>
                          </w:r>
                          <w:r>
                            <w:t>.0</w:t>
                          </w:r>
                        </w:p>
                        <w:p w14:paraId="53F1C2D6" w14:textId="16DFE48A" w:rsidR="005D7536" w:rsidRPr="005D7536" w:rsidRDefault="00E00B7D" w:rsidP="005D7536">
                          <w:pPr>
                            <w:pStyle w:val="TableParagraph"/>
                            <w:tabs>
                              <w:tab w:val="left" w:pos="2244"/>
                            </w:tabs>
                            <w:spacing w:before="57" w:line="516" w:lineRule="exact"/>
                            <w:ind w:left="107" w:right="455"/>
                            <w:rPr>
                              <w:spacing w:val="-3"/>
                            </w:rPr>
                          </w:pPr>
                          <w:r>
                            <w:t>Yayın</w:t>
                          </w:r>
                          <w:r>
                            <w:rPr>
                              <w:spacing w:val="-2"/>
                            </w:rPr>
                            <w:t xml:space="preserve"> </w:t>
                          </w:r>
                          <w:r>
                            <w:t>Tarihi</w:t>
                          </w:r>
                          <w:r>
                            <w:tab/>
                            <w:t>: 15.07.2017 Revizyon No/Tarih</w:t>
                          </w:r>
                          <w:r>
                            <w:tab/>
                            <w:t>:</w:t>
                          </w:r>
                          <w:r>
                            <w:rPr>
                              <w:spacing w:val="26"/>
                            </w:rPr>
                            <w:t xml:space="preserve"> </w:t>
                          </w:r>
                          <w:r>
                            <w:rPr>
                              <w:spacing w:val="-3"/>
                            </w:rPr>
                            <w:t>0</w:t>
                          </w:r>
                          <w:r w:rsidR="005D7536">
                            <w:rPr>
                              <w:spacing w:val="-3"/>
                            </w:rPr>
                            <w:t>3</w:t>
                          </w:r>
                          <w:r>
                            <w:rPr>
                              <w:spacing w:val="-3"/>
                            </w:rPr>
                            <w:t>/</w:t>
                          </w:r>
                          <w:r w:rsidR="005D7536">
                            <w:rPr>
                              <w:spacing w:val="-3"/>
                            </w:rPr>
                            <w:t>08.08.2023</w:t>
                          </w:r>
                        </w:p>
                      </w:tc>
                    </w:tr>
                  </w:tbl>
                  <w:p w14:paraId="48DD713D" w14:textId="77777777" w:rsidR="008676C2" w:rsidRDefault="008676C2">
                    <w:pPr>
                      <w:pStyle w:val="GvdeMetni"/>
                    </w:pPr>
                  </w:p>
                </w:txbxContent>
              </v:textbox>
              <w10:wrap anchorx="page" anchory="margin"/>
            </v:shape>
          </w:pict>
        </mc:Fallback>
      </mc:AlternateContent>
    </w:r>
    <w:r w:rsidR="00E00B7D">
      <w:rPr>
        <w:noProof/>
        <w:lang w:eastAsia="tr-TR"/>
      </w:rPr>
      <w:drawing>
        <wp:anchor distT="0" distB="0" distL="0" distR="0" simplePos="0" relativeHeight="487525888" behindDoc="1" locked="0" layoutInCell="1" allowOverlap="1" wp14:anchorId="4B68B647" wp14:editId="0B25AEE4">
          <wp:simplePos x="0" y="0"/>
          <wp:positionH relativeFrom="page">
            <wp:posOffset>847089</wp:posOffset>
          </wp:positionH>
          <wp:positionV relativeFrom="page">
            <wp:posOffset>524666</wp:posOffset>
          </wp:positionV>
          <wp:extent cx="1266621" cy="6690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66621" cy="6690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40947"/>
    <w:multiLevelType w:val="hybridMultilevel"/>
    <w:tmpl w:val="5062361E"/>
    <w:lvl w:ilvl="0" w:tplc="6848E910">
      <w:start w:val="1"/>
      <w:numFmt w:val="decimal"/>
      <w:lvlText w:val="%1-"/>
      <w:lvlJc w:val="left"/>
      <w:pPr>
        <w:ind w:left="933" w:hanging="197"/>
        <w:jc w:val="left"/>
      </w:pPr>
      <w:rPr>
        <w:rFonts w:ascii="Arial" w:eastAsia="Arial" w:hAnsi="Arial" w:cs="Arial" w:hint="default"/>
        <w:b/>
        <w:bCs/>
        <w:spacing w:val="-4"/>
        <w:w w:val="100"/>
        <w:sz w:val="20"/>
        <w:szCs w:val="20"/>
        <w:lang w:val="tr-TR" w:eastAsia="en-US" w:bidi="ar-SA"/>
      </w:rPr>
    </w:lvl>
    <w:lvl w:ilvl="1" w:tplc="B5064A56">
      <w:numFmt w:val="bullet"/>
      <w:lvlText w:val="•"/>
      <w:lvlJc w:val="left"/>
      <w:pPr>
        <w:ind w:left="1894" w:hanging="197"/>
      </w:pPr>
      <w:rPr>
        <w:rFonts w:hint="default"/>
        <w:lang w:val="tr-TR" w:eastAsia="en-US" w:bidi="ar-SA"/>
      </w:rPr>
    </w:lvl>
    <w:lvl w:ilvl="2" w:tplc="1B607922">
      <w:numFmt w:val="bullet"/>
      <w:lvlText w:val="•"/>
      <w:lvlJc w:val="left"/>
      <w:pPr>
        <w:ind w:left="2849" w:hanging="197"/>
      </w:pPr>
      <w:rPr>
        <w:rFonts w:hint="default"/>
        <w:lang w:val="tr-TR" w:eastAsia="en-US" w:bidi="ar-SA"/>
      </w:rPr>
    </w:lvl>
    <w:lvl w:ilvl="3" w:tplc="7E9A6FAC">
      <w:numFmt w:val="bullet"/>
      <w:lvlText w:val="•"/>
      <w:lvlJc w:val="left"/>
      <w:pPr>
        <w:ind w:left="3803" w:hanging="197"/>
      </w:pPr>
      <w:rPr>
        <w:rFonts w:hint="default"/>
        <w:lang w:val="tr-TR" w:eastAsia="en-US" w:bidi="ar-SA"/>
      </w:rPr>
    </w:lvl>
    <w:lvl w:ilvl="4" w:tplc="8EF6F686">
      <w:numFmt w:val="bullet"/>
      <w:lvlText w:val="•"/>
      <w:lvlJc w:val="left"/>
      <w:pPr>
        <w:ind w:left="4758" w:hanging="197"/>
      </w:pPr>
      <w:rPr>
        <w:rFonts w:hint="default"/>
        <w:lang w:val="tr-TR" w:eastAsia="en-US" w:bidi="ar-SA"/>
      </w:rPr>
    </w:lvl>
    <w:lvl w:ilvl="5" w:tplc="072C9270">
      <w:numFmt w:val="bullet"/>
      <w:lvlText w:val="•"/>
      <w:lvlJc w:val="left"/>
      <w:pPr>
        <w:ind w:left="5713" w:hanging="197"/>
      </w:pPr>
      <w:rPr>
        <w:rFonts w:hint="default"/>
        <w:lang w:val="tr-TR" w:eastAsia="en-US" w:bidi="ar-SA"/>
      </w:rPr>
    </w:lvl>
    <w:lvl w:ilvl="6" w:tplc="668EAFE2">
      <w:numFmt w:val="bullet"/>
      <w:lvlText w:val="•"/>
      <w:lvlJc w:val="left"/>
      <w:pPr>
        <w:ind w:left="6667" w:hanging="197"/>
      </w:pPr>
      <w:rPr>
        <w:rFonts w:hint="default"/>
        <w:lang w:val="tr-TR" w:eastAsia="en-US" w:bidi="ar-SA"/>
      </w:rPr>
    </w:lvl>
    <w:lvl w:ilvl="7" w:tplc="1C682CD0">
      <w:numFmt w:val="bullet"/>
      <w:lvlText w:val="•"/>
      <w:lvlJc w:val="left"/>
      <w:pPr>
        <w:ind w:left="7622" w:hanging="197"/>
      </w:pPr>
      <w:rPr>
        <w:rFonts w:hint="default"/>
        <w:lang w:val="tr-TR" w:eastAsia="en-US" w:bidi="ar-SA"/>
      </w:rPr>
    </w:lvl>
    <w:lvl w:ilvl="8" w:tplc="A3E2B7BE">
      <w:numFmt w:val="bullet"/>
      <w:lvlText w:val="•"/>
      <w:lvlJc w:val="left"/>
      <w:pPr>
        <w:ind w:left="8577" w:hanging="197"/>
      </w:pPr>
      <w:rPr>
        <w:rFonts w:hint="default"/>
        <w:lang w:val="tr-TR" w:eastAsia="en-US" w:bidi="ar-SA"/>
      </w:rPr>
    </w:lvl>
  </w:abstractNum>
  <w:num w:numId="1" w16cid:durableId="50281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2"/>
    <w:rsid w:val="000B0EF7"/>
    <w:rsid w:val="0012780A"/>
    <w:rsid w:val="001306A0"/>
    <w:rsid w:val="002D4016"/>
    <w:rsid w:val="005D7536"/>
    <w:rsid w:val="00671D53"/>
    <w:rsid w:val="0072256B"/>
    <w:rsid w:val="0073089B"/>
    <w:rsid w:val="007F1BD8"/>
    <w:rsid w:val="008676C2"/>
    <w:rsid w:val="009F6C05"/>
    <w:rsid w:val="00AA4819"/>
    <w:rsid w:val="00AB5608"/>
    <w:rsid w:val="00AE4511"/>
    <w:rsid w:val="00B37A8B"/>
    <w:rsid w:val="00B7319B"/>
    <w:rsid w:val="00BC70B6"/>
    <w:rsid w:val="00E00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5CC3B"/>
  <w15:docId w15:val="{0CACCA8B-7160-4944-9FE8-BA166BC7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76C2"/>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676C2"/>
    <w:tblPr>
      <w:tblInd w:w="0" w:type="dxa"/>
      <w:tblCellMar>
        <w:top w:w="0" w:type="dxa"/>
        <w:left w:w="0" w:type="dxa"/>
        <w:bottom w:w="0" w:type="dxa"/>
        <w:right w:w="0" w:type="dxa"/>
      </w:tblCellMar>
    </w:tblPr>
  </w:style>
  <w:style w:type="paragraph" w:styleId="GvdeMetni">
    <w:name w:val="Body Text"/>
    <w:basedOn w:val="Normal"/>
    <w:uiPriority w:val="1"/>
    <w:qFormat/>
    <w:rsid w:val="008676C2"/>
  </w:style>
  <w:style w:type="paragraph" w:customStyle="1" w:styleId="Balk11">
    <w:name w:val="Başlık 11"/>
    <w:basedOn w:val="Normal"/>
    <w:uiPriority w:val="1"/>
    <w:qFormat/>
    <w:rsid w:val="008676C2"/>
    <w:pPr>
      <w:ind w:left="933" w:hanging="198"/>
      <w:outlineLvl w:val="1"/>
    </w:pPr>
    <w:rPr>
      <w:rFonts w:ascii="Arial" w:eastAsia="Arial" w:hAnsi="Arial" w:cs="Arial"/>
      <w:b/>
      <w:bCs/>
    </w:rPr>
  </w:style>
  <w:style w:type="paragraph" w:customStyle="1" w:styleId="Balk21">
    <w:name w:val="Başlık 21"/>
    <w:basedOn w:val="Normal"/>
    <w:uiPriority w:val="1"/>
    <w:qFormat/>
    <w:rsid w:val="008676C2"/>
    <w:pPr>
      <w:ind w:left="736"/>
      <w:jc w:val="both"/>
      <w:outlineLvl w:val="2"/>
    </w:pPr>
    <w:rPr>
      <w:b/>
      <w:bCs/>
      <w:i/>
    </w:rPr>
  </w:style>
  <w:style w:type="paragraph" w:styleId="ListeParagraf">
    <w:name w:val="List Paragraph"/>
    <w:basedOn w:val="Normal"/>
    <w:uiPriority w:val="1"/>
    <w:qFormat/>
    <w:rsid w:val="008676C2"/>
    <w:pPr>
      <w:ind w:left="933" w:hanging="198"/>
    </w:pPr>
    <w:rPr>
      <w:rFonts w:ascii="Arial" w:eastAsia="Arial" w:hAnsi="Arial" w:cs="Arial"/>
    </w:rPr>
  </w:style>
  <w:style w:type="paragraph" w:customStyle="1" w:styleId="TableParagraph">
    <w:name w:val="Table Paragraph"/>
    <w:basedOn w:val="Normal"/>
    <w:uiPriority w:val="1"/>
    <w:qFormat/>
    <w:rsid w:val="008676C2"/>
    <w:pPr>
      <w:spacing w:before="2"/>
    </w:pPr>
    <w:rPr>
      <w:rFonts w:ascii="Arial" w:eastAsia="Arial" w:hAnsi="Arial" w:cs="Arial"/>
    </w:rPr>
  </w:style>
  <w:style w:type="paragraph" w:styleId="stBilgi">
    <w:name w:val="header"/>
    <w:basedOn w:val="Normal"/>
    <w:link w:val="stBilgiChar"/>
    <w:uiPriority w:val="99"/>
    <w:unhideWhenUsed/>
    <w:rsid w:val="00AA4819"/>
    <w:pPr>
      <w:tabs>
        <w:tab w:val="center" w:pos="4536"/>
        <w:tab w:val="right" w:pos="9072"/>
      </w:tabs>
    </w:pPr>
  </w:style>
  <w:style w:type="character" w:customStyle="1" w:styleId="stBilgiChar">
    <w:name w:val="Üst Bilgi Char"/>
    <w:basedOn w:val="VarsaylanParagrafYazTipi"/>
    <w:link w:val="stBilgi"/>
    <w:uiPriority w:val="99"/>
    <w:rsid w:val="00AA4819"/>
    <w:rPr>
      <w:rFonts w:ascii="Carlito" w:eastAsia="Carlito" w:hAnsi="Carlito" w:cs="Carlito"/>
      <w:lang w:val="tr-TR"/>
    </w:rPr>
  </w:style>
  <w:style w:type="paragraph" w:styleId="AltBilgi">
    <w:name w:val="footer"/>
    <w:basedOn w:val="Normal"/>
    <w:link w:val="AltBilgiChar"/>
    <w:uiPriority w:val="99"/>
    <w:unhideWhenUsed/>
    <w:rsid w:val="00AA4819"/>
    <w:pPr>
      <w:tabs>
        <w:tab w:val="center" w:pos="4536"/>
        <w:tab w:val="right" w:pos="9072"/>
      </w:tabs>
    </w:pPr>
  </w:style>
  <w:style w:type="character" w:customStyle="1" w:styleId="AltBilgiChar">
    <w:name w:val="Alt Bilgi Char"/>
    <w:basedOn w:val="VarsaylanParagrafYazTipi"/>
    <w:link w:val="AltBilgi"/>
    <w:uiPriority w:val="99"/>
    <w:rsid w:val="00AA4819"/>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rasimee</dc:creator>
  <cp:lastModifiedBy>koralp karakoç</cp:lastModifiedBy>
  <cp:revision>6</cp:revision>
  <dcterms:created xsi:type="dcterms:W3CDTF">2022-08-22T19:32:00Z</dcterms:created>
  <dcterms:modified xsi:type="dcterms:W3CDTF">2024-05-30T13:58:00Z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2020-11-22T00:00:00Z</vt:filetime>
  </property>
  <property fmtid="{D5CDD505-2E9C-101B-9397-08002B2CF9AE}" pid="3" name="Creator">
    <vt:lpwstr>Microsoft® Word Microsoft 365 için</vt:lpwstr>
  </property>
  <property fmtid="{D5CDD505-2E9C-101B-9397-08002B2CF9AE}" pid="4" name="LastSaved">
    <vt:filetime>2021-01-14T00:00:00Z</vt:filetime>
  </property>
</Properties>
</file>